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224"/>
      </w:tblGrid>
      <w:tr>
        <w:tc>
          <w:tcPr>
            <w:tcW w:type="dxa" w:w="10224"/>
          </w:tcPr>
          <w:p>
            <w:pPr>
              <w:spacing w:after="20" w:line="245" w:lineRule="auto"/>
            </w:pPr>
            <w:r/>
            <w:r>
              <w:rPr>
                <w:b/>
                <w:i/>
                <w:color w:val="000000"/>
                <w:sz w:val="27"/>
              </w:rPr>
              <w:t>St. Joseph’s Anglo-Chinese School</w:t>
            </w:r>
          </w:p>
          <w:p>
            <w:pPr>
              <w:spacing w:after="20" w:line="245" w:lineRule="auto"/>
            </w:pPr>
            <w:r>
              <w:rPr>
                <w:b/>
                <w:i/>
                <w:color w:val="000000"/>
                <w:sz w:val="24"/>
              </w:rPr>
              <w:t>Form 5 English Language</w:t>
            </w:r>
          </w:p>
          <w:p>
            <w:pPr>
              <w:spacing w:after="20" w:line="245" w:lineRule="auto"/>
            </w:pPr>
            <w:r>
              <w:rPr>
                <w:b/>
                <w:i/>
                <w:color w:val="000000"/>
                <w:sz w:val="19"/>
              </w:rPr>
              <w:t>Paper 4 Speaking – Exam Practice (DSE 2016 Set 1.1)</w:t>
            </w:r>
          </w:p>
        </w:tc>
      </w:tr>
    </w:tbl>
    <w:p>
      <w:pPr>
        <w:keepNext/>
        <w:spacing w:after="100" w:line="259" w:lineRule="auto"/>
      </w:pPr>
      <w:r>
        <w:rPr>
          <w:b/>
          <w:i w:val="0"/>
          <w:color w:val="548235"/>
          <w:sz w:val="26"/>
          <w:u w:val="single"/>
        </w:rPr>
        <w:t>Warm-up – Two Easier Part B Questions  (6 minutes, in pairs)</w:t>
      </w:r>
    </w:p>
    <w:p>
      <w:pPr>
        <w:keepNext w:val="0"/>
        <w:spacing w:after="120" w:line="259" w:lineRule="auto"/>
      </w:pPr>
      <w:r>
        <w:rPr>
          <w:b w:val="0"/>
          <w:i w:val="0"/>
          <w:color w:val="5A6470"/>
          <w:sz w:val="21"/>
          <w:u w:val="none"/>
        </w:rPr>
        <w:t>Both partners answer the same question. Push for a time, a reason and one detail — not a one-word answer. This is where you hear their Level 3 baseline.</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Question 1</w:t>
            </w:r>
          </w:p>
        </w:tc>
        <w:tc>
          <w:tcPr>
            <w:tcW w:type="dxa" w:w="3408"/>
          </w:tcPr>
          <w:p>
            <w:pPr>
              <w:spacing w:after="20" w:line="245" w:lineRule="auto"/>
            </w:pPr>
            <w:r/>
            <w:r>
              <w:rPr>
                <w:b w:val="0"/>
                <w:i w:val="0"/>
                <w:color w:val="000000"/>
                <w:sz w:val="21"/>
              </w:rPr>
              <w:t>Have you done any charity work?</w:t>
            </w:r>
          </w:p>
        </w:tc>
        <w:tc>
          <w:tcPr>
            <w:tcW w:type="dxa" w:w="3408"/>
          </w:tcPr>
          <w:p>
            <w:pPr>
              <w:spacing w:after="20" w:line="245" w:lineRule="auto"/>
            </w:pPr>
            <w:r/>
            <w:r>
              <w:rPr>
                <w:b w:val="0"/>
                <w:i w:val="0"/>
                <w:color w:val="000000"/>
                <w:sz w:val="21"/>
              </w:rPr>
              <w:t>What to listen for</w:t>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Yes — a flag day and a book drive, and once I served rice at a community kitchen.</w:t>
            </w:r>
          </w:p>
        </w:tc>
        <w:tc>
          <w:tcPr>
            <w:tcW w:type="dxa" w:w="3408"/>
          </w:tcPr>
          <w:p>
            <w:pPr>
              <w:spacing w:after="20" w:line="245" w:lineRule="auto"/>
            </w:pPr>
            <w:r/>
            <w:r>
              <w:rPr>
                <w:b w:val="0"/>
                <w:i w:val="0"/>
                <w:color w:val="000000"/>
                <w:sz w:val="21"/>
              </w:rPr>
              <w:t>A concrete example plus how long they stayed involved, not just a yes or a no.</w:t>
            </w:r>
          </w:p>
        </w:tc>
      </w:tr>
      <w:tr>
        <w:tc>
          <w:tcPr>
            <w:tcW w:type="dxa" w:w="3408"/>
          </w:tcPr>
          <w:p>
            <w:pPr>
              <w:spacing w:after="20" w:line="245" w:lineRule="auto"/>
            </w:pPr>
            <w:r/>
            <w:r>
              <w:rPr>
                <w:b/>
                <w:i w:val="0"/>
                <w:color w:val="14233C"/>
                <w:sz w:val="21"/>
              </w:rPr>
              <w:t>Question 2</w:t>
            </w:r>
          </w:p>
        </w:tc>
        <w:tc>
          <w:tcPr>
            <w:tcW w:type="dxa" w:w="3408"/>
          </w:tcPr>
          <w:p>
            <w:pPr>
              <w:spacing w:after="20" w:line="245" w:lineRule="auto"/>
            </w:pPr>
            <w:r/>
            <w:r>
              <w:rPr>
                <w:b w:val="0"/>
                <w:i w:val="0"/>
                <w:color w:val="000000"/>
                <w:sz w:val="21"/>
              </w:rPr>
              <w:t>Would you prefer to do charity work locally or outside Hong Kong?</w:t>
            </w:r>
          </w:p>
        </w:tc>
        <w:tc>
          <w:tcPr>
            <w:tcW w:type="dxa" w:w="3408"/>
          </w:tcPr>
          <w:p>
            <w:pPr>
              <w:spacing w:after="20" w:line="245" w:lineRule="auto"/>
            </w:pPr>
            <w:r/>
            <w:r>
              <w:rPr>
                <w:b w:val="0"/>
                <w:i w:val="0"/>
                <w:color w:val="000000"/>
                <w:sz w:val="21"/>
              </w:rPr>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Locally, to be honest — I think I could do more good in my own district week after week.</w:t>
            </w:r>
          </w:p>
        </w:tc>
        <w:tc>
          <w:tcPr>
            <w:tcW w:type="dxa" w:w="3408"/>
          </w:tcPr>
          <w:p>
            <w:pPr>
              <w:spacing w:after="20" w:line="245" w:lineRule="auto"/>
            </w:pPr>
            <w:r/>
            <w:r>
              <w:rPr>
                <w:b w:val="0"/>
                <w:i w:val="0"/>
                <w:color w:val="000000"/>
                <w:sz w:val="21"/>
              </w:rPr>
              <w:t>A clear preference with one reason behind it.</w:t>
            </w:r>
          </w:p>
        </w:tc>
      </w:tr>
    </w:tbl>
    <w:p>
      <w:pPr>
        <w:keepNext w:val="0"/>
        <w:spacing w:after="40" w:line="259" w:lineRule="auto"/>
      </w:pPr>
    </w:p>
    <w:p>
      <w:pPr>
        <w:keepNext/>
        <w:spacing w:after="60" w:line="259" w:lineRule="auto"/>
      </w:pPr>
      <w:r>
        <w:rPr>
          <w:b/>
          <w:i w:val="0"/>
          <w:color w:val="14233C"/>
          <w:sz w:val="23"/>
          <w:u w:val="none"/>
        </w:rPr>
        <w:t>▸  Upgrade opportunity — take what they say and lift it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  (useful for Part A and Part B)</w:t>
            </w:r>
          </w:p>
        </w:tc>
        <w:tc>
          <w:tcPr>
            <w:tcW w:type="dxa" w:w="3408"/>
          </w:tcPr>
          <w:p>
            <w:pPr>
              <w:spacing w:after="20" w:line="245" w:lineRule="auto"/>
            </w:pPr>
            <w:r/>
            <w:r>
              <w:rPr>
                <w:b/>
                <w:i w:val="0"/>
                <w:color w:val="14233C"/>
                <w:sz w:val="21"/>
              </w:rPr>
              <w:t>Where it pays off</w:t>
            </w:r>
          </w:p>
        </w:tc>
      </w:tr>
      <w:tr>
        <w:tc>
          <w:tcPr>
            <w:tcW w:type="dxa" w:w="3408"/>
          </w:tcPr>
          <w:p>
            <w:pPr>
              <w:spacing w:after="20" w:line="245" w:lineRule="auto"/>
            </w:pPr>
            <w:r/>
            <w:r>
              <w:rPr>
                <w:b w:val="0"/>
                <w:i w:val="0"/>
                <w:sz w:val="21"/>
              </w:rPr>
              <w:t>"I helped once."</w:t>
            </w:r>
          </w:p>
        </w:tc>
        <w:tc>
          <w:tcPr>
            <w:tcW w:type="dxa" w:w="3408"/>
          </w:tcPr>
          <w:p>
            <w:pPr>
              <w:spacing w:after="20" w:line="245" w:lineRule="auto"/>
            </w:pPr>
            <w:r/>
            <w:r>
              <w:rPr>
                <w:b/>
                <w:i w:val="0"/>
                <w:color w:val="14233C"/>
                <w:sz w:val="21"/>
              </w:rPr>
              <w:t>I took part in a charity drive at school.</w:t>
            </w:r>
          </w:p>
        </w:tc>
        <w:tc>
          <w:tcPr>
            <w:tcW w:type="dxa" w:w="3408"/>
          </w:tcPr>
          <w:p>
            <w:pPr>
              <w:spacing w:after="20" w:line="245" w:lineRule="auto"/>
            </w:pPr>
            <w:r/>
            <w:r>
              <w:rPr>
                <w:b w:val="0"/>
                <w:i w:val="0"/>
                <w:sz w:val="21"/>
              </w:rPr>
              <w:t>Any experience answer</w:t>
            </w:r>
          </w:p>
        </w:tc>
      </w:tr>
      <w:tr>
        <w:tc>
          <w:tcPr>
            <w:tcW w:type="dxa" w:w="3408"/>
          </w:tcPr>
          <w:p>
            <w:pPr>
              <w:spacing w:after="20" w:line="245" w:lineRule="auto"/>
            </w:pPr>
            <w:r/>
            <w:r>
              <w:rPr>
                <w:b w:val="0"/>
                <w:i w:val="0"/>
                <w:sz w:val="21"/>
              </w:rPr>
              <w:t>"Helping is good."</w:t>
            </w:r>
          </w:p>
        </w:tc>
        <w:tc>
          <w:tcPr>
            <w:tcW w:type="dxa" w:w="3408"/>
          </w:tcPr>
          <w:p>
            <w:pPr>
              <w:spacing w:after="20" w:line="245" w:lineRule="auto"/>
            </w:pPr>
            <w:r/>
            <w:r>
              <w:rPr>
                <w:b/>
                <w:i w:val="0"/>
                <w:color w:val="14233C"/>
                <w:sz w:val="21"/>
              </w:rPr>
              <w:t>Charity work builds empathy and a sense of responsibility.</w:t>
            </w:r>
          </w:p>
        </w:tc>
        <w:tc>
          <w:tcPr>
            <w:tcW w:type="dxa" w:w="3408"/>
          </w:tcPr>
          <w:p>
            <w:pPr>
              <w:spacing w:after="20" w:line="245" w:lineRule="auto"/>
            </w:pPr>
            <w:r/>
            <w:r>
              <w:rPr>
                <w:b w:val="0"/>
                <w:i w:val="0"/>
                <w:sz w:val="21"/>
              </w:rPr>
              <w:t>Part A bullet 1</w:t>
            </w:r>
          </w:p>
        </w:tc>
      </w:tr>
      <w:tr>
        <w:tc>
          <w:tcPr>
            <w:tcW w:type="dxa" w:w="3408"/>
          </w:tcPr>
          <w:p>
            <w:pPr>
              <w:spacing w:after="20" w:line="245" w:lineRule="auto"/>
            </w:pPr>
            <w:r/>
            <w:r>
              <w:rPr>
                <w:b w:val="0"/>
                <w:i w:val="0"/>
                <w:sz w:val="21"/>
              </w:rPr>
              <w:t>"We spend a lot of money."</w:t>
            </w:r>
          </w:p>
        </w:tc>
        <w:tc>
          <w:tcPr>
            <w:tcW w:type="dxa" w:w="3408"/>
          </w:tcPr>
          <w:p>
            <w:pPr>
              <w:spacing w:after="20" w:line="245" w:lineRule="auto"/>
            </w:pPr>
            <w:r/>
            <w:r>
              <w:rPr>
                <w:b/>
                <w:i w:val="0"/>
                <w:color w:val="14233C"/>
                <w:sz w:val="21"/>
              </w:rPr>
              <w:t>The trip costs each student around HK$5,000, which many families cannot afford.</w:t>
            </w:r>
          </w:p>
        </w:tc>
        <w:tc>
          <w:tcPr>
            <w:tcW w:type="dxa" w:w="3408"/>
          </w:tcPr>
          <w:p>
            <w:pPr>
              <w:spacing w:after="20" w:line="245" w:lineRule="auto"/>
            </w:pPr>
            <w:r/>
            <w:r>
              <w:rPr>
                <w:b w:val="0"/>
                <w:i w:val="0"/>
                <w:sz w:val="21"/>
              </w:rPr>
              <w:t>Part A bullets 2 and 3</w:t>
            </w:r>
          </w:p>
        </w:tc>
      </w:tr>
      <w:tr>
        <w:tc>
          <w:tcPr>
            <w:tcW w:type="dxa" w:w="3408"/>
          </w:tcPr>
          <w:p>
            <w:pPr>
              <w:spacing w:after="20" w:line="245" w:lineRule="auto"/>
            </w:pPr>
            <w:r/>
            <w:r>
              <w:rPr>
                <w:b w:val="0"/>
                <w:i w:val="0"/>
                <w:sz w:val="21"/>
              </w:rPr>
              <w:t>"We can’t help much."</w:t>
            </w:r>
          </w:p>
        </w:tc>
        <w:tc>
          <w:tcPr>
            <w:tcW w:type="dxa" w:w="3408"/>
          </w:tcPr>
          <w:p>
            <w:pPr>
              <w:spacing w:after="20" w:line="245" w:lineRule="auto"/>
            </w:pPr>
            <w:r/>
            <w:r>
              <w:rPr>
                <w:b/>
                <w:i w:val="0"/>
                <w:color w:val="14233C"/>
                <w:sz w:val="21"/>
              </w:rPr>
              <w:t>Short visits raise a real question about their long-term impact.</w:t>
            </w:r>
          </w:p>
        </w:tc>
        <w:tc>
          <w:tcPr>
            <w:tcW w:type="dxa" w:w="3408"/>
          </w:tcPr>
          <w:p>
            <w:pPr>
              <w:spacing w:after="20" w:line="245" w:lineRule="auto"/>
            </w:pPr>
            <w:r/>
            <w:r>
              <w:rPr>
                <w:b w:val="0"/>
                <w:i w:val="0"/>
                <w:sz w:val="21"/>
              </w:rPr>
              <w:t>Part A bullet 2, Part B Q7</w:t>
            </w:r>
          </w:p>
        </w:tc>
      </w:tr>
    </w:tbl>
    <w:p>
      <w:pPr>
        <w:keepNext w:val="0"/>
        <w:spacing w:after="40" w:line="259" w:lineRule="auto"/>
      </w:pPr>
    </w:p>
    <w:p>
      <w:pPr>
        <w:keepNext/>
        <w:spacing w:after="100" w:line="259" w:lineRule="auto"/>
      </w:pPr>
      <w:r>
        <w:rPr>
          <w:b/>
          <w:i w:val="0"/>
          <w:color w:val="548235"/>
          <w:sz w:val="26"/>
          <w:u w:val="single"/>
        </w:rPr>
        <w:t>Part A – The Discussion Task  (10 min preparation, 8 min discussion)</w:t>
      </w:r>
    </w:p>
    <w:p>
      <w:pPr>
        <w:keepNext w:val="0"/>
        <w:spacing w:after="120" w:line="259" w:lineRule="auto"/>
      </w:pPr>
      <w:r>
        <w:rPr>
          <w:b w:val="0"/>
          <w:i w:val="0"/>
          <w:sz w:val="21"/>
          <w:u w:val="none"/>
        </w:rPr>
        <w:t>Your group is discussing the kinds of charity work your school could be involved in. You may want to talk about:</w:t>
      </w:r>
    </w:p>
    <w:p>
      <w:pPr>
        <w:keepNext/>
        <w:spacing w:after="60" w:line="259" w:lineRule="auto"/>
      </w:pPr>
      <w:r>
        <w:rPr>
          <w:b/>
          <w:i w:val="0"/>
          <w:color w:val="14233C"/>
          <w:sz w:val="23"/>
          <w:u w:val="none"/>
        </w:rPr>
        <w:t>▸  Say it another way — synonyms to replace the question’s own wording</w:t>
      </w:r>
    </w:p>
    <w:p>
      <w:pPr>
        <w:keepNext w:val="0"/>
        <w:spacing w:after="80" w:line="259" w:lineRule="auto"/>
      </w:pPr>
      <w:r>
        <w:rPr>
          <w:b w:val="0"/>
          <w:i w:val="0"/>
          <w:color w:val="5A6470"/>
          <w:sz w:val="20"/>
          <w:u w:val="none"/>
        </w:rPr>
        <w:t>Students who recycle the paper’s words score lower than students who paraphrase. Put these on the board and ban the left-hand column.</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The question says…</w:t>
            </w:r>
          </w:p>
        </w:tc>
        <w:tc>
          <w:tcPr>
            <w:tcW w:type="dxa" w:w="3408"/>
          </w:tcPr>
          <w:p>
            <w:pPr>
              <w:spacing w:after="20" w:line="245" w:lineRule="auto"/>
            </w:pPr>
            <w:r/>
            <w:r>
              <w:rPr>
                <w:b/>
                <w:i w:val="0"/>
                <w:color w:val="14233C"/>
                <w:sz w:val="21"/>
              </w:rPr>
              <w:t>Say instead</w:t>
            </w:r>
          </w:p>
        </w:tc>
        <w:tc>
          <w:tcPr>
            <w:tcW w:type="dxa" w:w="3408"/>
          </w:tcPr>
          <w:p>
            <w:pPr>
              <w:spacing w:after="20" w:line="245" w:lineRule="auto"/>
            </w:pPr>
            <w:r/>
            <w:r>
              <w:rPr>
                <w:b/>
                <w:i w:val="0"/>
                <w:color w:val="14233C"/>
                <w:sz w:val="21"/>
              </w:rPr>
              <w:t>Model sentence</w:t>
            </w:r>
          </w:p>
        </w:tc>
      </w:tr>
      <w:tr>
        <w:tc>
          <w:tcPr>
            <w:tcW w:type="dxa" w:w="3408"/>
          </w:tcPr>
          <w:p>
            <w:pPr>
              <w:spacing w:after="20" w:line="245" w:lineRule="auto"/>
            </w:pPr>
            <w:r/>
            <w:r>
              <w:rPr>
                <w:b/>
                <w:i w:val="0"/>
                <w:sz w:val="21"/>
              </w:rPr>
              <w:t>charity work</w:t>
            </w:r>
          </w:p>
        </w:tc>
        <w:tc>
          <w:tcPr>
            <w:tcW w:type="dxa" w:w="3408"/>
          </w:tcPr>
          <w:p>
            <w:pPr>
              <w:spacing w:after="20" w:line="245" w:lineRule="auto"/>
            </w:pPr>
            <w:r/>
            <w:r>
              <w:rPr>
                <w:b w:val="0"/>
                <w:i w:val="0"/>
                <w:color w:val="14233C"/>
                <w:sz w:val="21"/>
              </w:rPr>
              <w:t>volunteering · community service · fundraising · giving back</w:t>
            </w:r>
          </w:p>
        </w:tc>
        <w:tc>
          <w:tcPr>
            <w:tcW w:type="dxa" w:w="3408"/>
          </w:tcPr>
          <w:p>
            <w:pPr>
              <w:spacing w:after="20" w:line="245" w:lineRule="auto"/>
            </w:pPr>
            <w:r/>
            <w:r>
              <w:rPr>
                <w:b w:val="0"/>
                <w:i/>
                <w:color w:val="5A6470"/>
                <w:sz w:val="21"/>
              </w:rPr>
              <w:t>The volunteers gave four of their seven days to teaching and building work.</w:t>
            </w:r>
          </w:p>
        </w:tc>
      </w:tr>
      <w:tr>
        <w:tc>
          <w:tcPr>
            <w:tcW w:type="dxa" w:w="3408"/>
          </w:tcPr>
          <w:p>
            <w:pPr>
              <w:spacing w:after="20" w:line="245" w:lineRule="auto"/>
            </w:pPr>
            <w:r/>
            <w:r>
              <w:rPr>
                <w:b/>
                <w:i w:val="0"/>
                <w:sz w:val="21"/>
              </w:rPr>
              <w:t>benefits</w:t>
            </w:r>
          </w:p>
        </w:tc>
        <w:tc>
          <w:tcPr>
            <w:tcW w:type="dxa" w:w="3408"/>
          </w:tcPr>
          <w:p>
            <w:pPr>
              <w:spacing w:after="20" w:line="245" w:lineRule="auto"/>
            </w:pPr>
            <w:r/>
            <w:r>
              <w:rPr>
                <w:b w:val="0"/>
                <w:i w:val="0"/>
                <w:color w:val="14233C"/>
                <w:sz w:val="21"/>
              </w:rPr>
              <w:t>the gains · the value it adds · what students get out of it · the upside</w:t>
            </w:r>
          </w:p>
        </w:tc>
        <w:tc>
          <w:tcPr>
            <w:tcW w:type="dxa" w:w="3408"/>
          </w:tcPr>
          <w:p>
            <w:pPr>
              <w:spacing w:after="20" w:line="245" w:lineRule="auto"/>
            </w:pPr>
            <w:r/>
            <w:r>
              <w:rPr>
                <w:b w:val="0"/>
                <w:i/>
                <w:color w:val="5A6470"/>
                <w:sz w:val="21"/>
              </w:rPr>
              <w:t>The gain students mention most often is a much wider worldview.</w:t>
            </w:r>
          </w:p>
        </w:tc>
      </w:tr>
      <w:tr>
        <w:tc>
          <w:tcPr>
            <w:tcW w:type="dxa" w:w="3408"/>
          </w:tcPr>
          <w:p>
            <w:pPr>
              <w:spacing w:after="20" w:line="245" w:lineRule="auto"/>
            </w:pPr>
            <w:r/>
            <w:r>
              <w:rPr>
                <w:b/>
                <w:i w:val="0"/>
                <w:sz w:val="21"/>
              </w:rPr>
              <w:t>concerns</w:t>
            </w:r>
          </w:p>
        </w:tc>
        <w:tc>
          <w:tcPr>
            <w:tcW w:type="dxa" w:w="3408"/>
          </w:tcPr>
          <w:p>
            <w:pPr>
              <w:spacing w:after="20" w:line="245" w:lineRule="auto"/>
            </w:pPr>
            <w:r/>
            <w:r>
              <w:rPr>
                <w:b w:val="0"/>
                <w:i w:val="0"/>
                <w:color w:val="14233C"/>
                <w:sz w:val="21"/>
              </w:rPr>
              <w:t>the risks and drawbacks · reservations · the worries that come with it · the downside</w:t>
            </w:r>
          </w:p>
        </w:tc>
        <w:tc>
          <w:tcPr>
            <w:tcW w:type="dxa" w:w="3408"/>
          </w:tcPr>
          <w:p>
            <w:pPr>
              <w:spacing w:after="20" w:line="245" w:lineRule="auto"/>
            </w:pPr>
            <w:r/>
            <w:r>
              <w:rPr>
                <w:b w:val="0"/>
                <w:i/>
                <w:color w:val="5A6470"/>
                <w:sz w:val="21"/>
              </w:rPr>
              <w:t>The main reservation is what a one-week visit can really achieve.</w:t>
            </w:r>
          </w:p>
        </w:tc>
      </w:tr>
      <w:tr>
        <w:tc>
          <w:tcPr>
            <w:tcW w:type="dxa" w:w="3408"/>
          </w:tcPr>
          <w:p>
            <w:pPr>
              <w:spacing w:after="20" w:line="245" w:lineRule="auto"/>
            </w:pPr>
            <w:r/>
            <w:r>
              <w:rPr>
                <w:b/>
                <w:i w:val="0"/>
                <w:sz w:val="21"/>
              </w:rPr>
              <w:t>a requirement</w:t>
            </w:r>
          </w:p>
        </w:tc>
        <w:tc>
          <w:tcPr>
            <w:tcW w:type="dxa" w:w="3408"/>
          </w:tcPr>
          <w:p>
            <w:pPr>
              <w:spacing w:after="20" w:line="245" w:lineRule="auto"/>
            </w:pPr>
            <w:r/>
            <w:r>
              <w:rPr>
                <w:b w:val="0"/>
                <w:i w:val="0"/>
                <w:color w:val="14233C"/>
                <w:sz w:val="21"/>
              </w:rPr>
              <w:t>compulsory · a mandatory part of the curriculum · something every student must do</w:t>
            </w:r>
          </w:p>
        </w:tc>
        <w:tc>
          <w:tcPr>
            <w:tcW w:type="dxa" w:w="3408"/>
          </w:tcPr>
          <w:p>
            <w:pPr>
              <w:spacing w:after="20" w:line="245" w:lineRule="auto"/>
            </w:pPr>
            <w:r/>
            <w:r>
              <w:rPr>
                <w:b w:val="0"/>
                <w:i/>
                <w:color w:val="5A6470"/>
                <w:sz w:val="21"/>
              </w:rPr>
              <w:t>Making service compulsory risks turning it into one more box to tick.</w:t>
            </w:r>
          </w:p>
        </w:tc>
      </w:tr>
      <w:tr>
        <w:tc>
          <w:tcPr>
            <w:tcW w:type="dxa" w:w="3408"/>
          </w:tcPr>
          <w:p>
            <w:pPr>
              <w:spacing w:after="20" w:line="245" w:lineRule="auto"/>
            </w:pPr>
            <w:r/>
            <w:r>
              <w:rPr>
                <w:b/>
                <w:i w:val="0"/>
                <w:sz w:val="21"/>
              </w:rPr>
              <w:t>outside Hong Kong</w:t>
            </w:r>
          </w:p>
        </w:tc>
        <w:tc>
          <w:tcPr>
            <w:tcW w:type="dxa" w:w="3408"/>
          </w:tcPr>
          <w:p>
            <w:pPr>
              <w:spacing w:after="20" w:line="245" w:lineRule="auto"/>
            </w:pPr>
            <w:r/>
            <w:r>
              <w:rPr>
                <w:b w:val="0"/>
                <w:i w:val="0"/>
                <w:color w:val="14233C"/>
                <w:sz w:val="21"/>
              </w:rPr>
              <w:t>overseas · abroad · beyond the city · in another country</w:t>
            </w:r>
          </w:p>
        </w:tc>
        <w:tc>
          <w:tcPr>
            <w:tcW w:type="dxa" w:w="3408"/>
          </w:tcPr>
          <w:p>
            <w:pPr>
              <w:spacing w:after="20" w:line="245" w:lineRule="auto"/>
            </w:pPr>
            <w:r/>
            <w:r>
              <w:rPr>
                <w:b w:val="0"/>
                <w:i/>
                <w:color w:val="5A6470"/>
                <w:sz w:val="21"/>
              </w:rPr>
              <w:t>Overseas trips cost far more than a local one.</w:t>
            </w:r>
          </w:p>
        </w:tc>
      </w:tr>
      <w:tr>
        <w:tc>
          <w:tcPr>
            <w:tcW w:type="dxa" w:w="3408"/>
          </w:tcPr>
          <w:p>
            <w:pPr>
              <w:spacing w:after="20" w:line="245" w:lineRule="auto"/>
            </w:pPr>
            <w:r/>
            <w:r>
              <w:rPr>
                <w:b/>
                <w:i w:val="0"/>
                <w:sz w:val="21"/>
              </w:rPr>
              <w:t>anything else you think is important</w:t>
            </w:r>
          </w:p>
        </w:tc>
        <w:tc>
          <w:tcPr>
            <w:tcW w:type="dxa" w:w="3408"/>
          </w:tcPr>
          <w:p>
            <w:pPr>
              <w:spacing w:after="20" w:line="245" w:lineRule="auto"/>
            </w:pPr>
            <w:r/>
            <w:r>
              <w:rPr>
                <w:b w:val="0"/>
                <w:i w:val="0"/>
                <w:color w:val="14233C"/>
                <w:sz w:val="21"/>
              </w:rPr>
              <w:t>one thing often overlooked · what also matters here · a further consideration</w:t>
            </w:r>
          </w:p>
        </w:tc>
        <w:tc>
          <w:tcPr>
            <w:tcW w:type="dxa" w:w="3408"/>
          </w:tcPr>
          <w:p>
            <w:pPr>
              <w:spacing w:after="20" w:line="245" w:lineRule="auto"/>
            </w:pPr>
            <w:r/>
            <w:r>
              <w:rPr>
                <w:b w:val="0"/>
                <w:i/>
                <w:color w:val="5A6470"/>
                <w:sz w:val="21"/>
              </w:rPr>
              <w:t>One thing often overlooked is what the host community gains from the visit.</w:t>
            </w:r>
          </w:p>
        </w:tc>
      </w:tr>
    </w:tbl>
    <w:p>
      <w:pPr>
        <w:keepNext w:val="0"/>
        <w:spacing w:after="40" w:line="259" w:lineRule="auto"/>
      </w:pPr>
    </w:p>
    <w:p>
      <w:pPr>
        <w:keepNext/>
        <w:spacing w:after="100" w:line="259" w:lineRule="auto"/>
      </w:pPr>
      <w:r>
        <w:rPr>
          <w:b/>
          <w:i w:val="0"/>
          <w:color w:val="548235"/>
          <w:sz w:val="26"/>
          <w:u w:val="single"/>
        </w:rPr>
        <w:t>Ideas for the Note Grid – Noun Phrases per Question, with a Model Example  (the same sets appear on the deck: Q1–Q3, then Part B Q7–Q8)</w:t>
      </w:r>
    </w:p>
    <w:p>
      <w:pPr>
        <w:keepNext w:val="0"/>
        <w:spacing w:after="100" w:line="259" w:lineRule="auto"/>
      </w:pPr>
      <w:r>
        <w:rPr>
          <w:b w:val="0"/>
          <w:i w:val="0"/>
          <w:color w:val="5A6470"/>
          <w:sz w:val="21"/>
          <w:u w:val="none"/>
        </w:rPr>
        <w:t>Give the noun phrase first (it is what they write in the grid), then the model example (it is what they say). The points in each set are deliberately different in kind, so a group cannot make the same point twice. Where a question has two sides, the set is built in two halves, so the group always has both sides ready.</w:t>
      </w: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1.  the benefits of students doing charity work outside Hong Kong</w:t>
            </w:r>
          </w:p>
        </w:tc>
      </w:tr>
      <w:tr>
        <w:tc>
          <w:tcPr>
            <w:tcW w:type="dxa" w:w="5112"/>
          </w:tcPr>
          <w:p>
            <w:pPr>
              <w:spacing w:after="20" w:line="245" w:lineRule="auto"/>
            </w:pPr>
            <w:r/>
            <w:r>
              <w:rPr>
                <w:b/>
                <w:i w:val="0"/>
                <w:color w:val="14233C"/>
                <w:sz w:val="22"/>
              </w:rPr>
              <w:t>•  a wider worldview</w:t>
            </w:r>
          </w:p>
        </w:tc>
        <w:tc>
          <w:tcPr>
            <w:tcW w:type="dxa" w:w="5112"/>
          </w:tcPr>
          <w:p>
            <w:pPr>
              <w:spacing w:after="20" w:line="245" w:lineRule="auto"/>
            </w:pPr>
            <w:r/>
            <w:r>
              <w:rPr>
                <w:b w:val="0"/>
                <w:i/>
                <w:color w:val="5A6470"/>
                <w:sz w:val="21"/>
              </w:rPr>
              <w:t>e.g.  Trying to live on HK$4 a day teaches more than any textbook can.</w:t>
            </w:r>
          </w:p>
        </w:tc>
      </w:tr>
      <w:tr>
        <w:tc>
          <w:tcPr>
            <w:tcW w:type="dxa" w:w="5112"/>
          </w:tcPr>
          <w:p>
            <w:pPr>
              <w:spacing w:after="20" w:line="245" w:lineRule="auto"/>
            </w:pPr>
            <w:r/>
            <w:r>
              <w:rPr>
                <w:b/>
                <w:i w:val="0"/>
                <w:color w:val="14233C"/>
                <w:sz w:val="22"/>
              </w:rPr>
              <w:t>•  empathy and a sense of responsibility</w:t>
            </w:r>
          </w:p>
        </w:tc>
        <w:tc>
          <w:tcPr>
            <w:tcW w:type="dxa" w:w="5112"/>
          </w:tcPr>
          <w:p>
            <w:pPr>
              <w:spacing w:after="20" w:line="245" w:lineRule="auto"/>
            </w:pPr>
            <w:r/>
            <w:r>
              <w:rPr>
                <w:b w:val="0"/>
                <w:i/>
                <w:color w:val="5A6470"/>
                <w:sz w:val="21"/>
              </w:rPr>
              <w:t>e.g.  Seeing real poverty makes students ask what they can actually do about it.</w:t>
            </w:r>
          </w:p>
        </w:tc>
      </w:tr>
      <w:tr>
        <w:tc>
          <w:tcPr>
            <w:tcW w:type="dxa" w:w="5112"/>
          </w:tcPr>
          <w:p>
            <w:pPr>
              <w:spacing w:after="20" w:line="245" w:lineRule="auto"/>
            </w:pPr>
            <w:r/>
            <w:r>
              <w:rPr>
                <w:b/>
                <w:i w:val="0"/>
                <w:color w:val="14233C"/>
                <w:sz w:val="22"/>
              </w:rPr>
              <w:t>•  practical skills and confidence</w:t>
            </w:r>
          </w:p>
        </w:tc>
        <w:tc>
          <w:tcPr>
            <w:tcW w:type="dxa" w:w="5112"/>
          </w:tcPr>
          <w:p>
            <w:pPr>
              <w:spacing w:after="20" w:line="245" w:lineRule="auto"/>
            </w:pPr>
            <w:r/>
            <w:r>
              <w:rPr>
                <w:b w:val="0"/>
                <w:i/>
                <w:color w:val="5A6470"/>
                <w:sz w:val="21"/>
              </w:rPr>
              <w:t>e.g.  Teaching, building and serving food give students skills no classroom teaches.</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2.  the concerns of doing charity work outside Hong Kong</w:t>
            </w:r>
          </w:p>
        </w:tc>
      </w:tr>
      <w:tr>
        <w:tc>
          <w:tcPr>
            <w:tcW w:type="dxa" w:w="5112"/>
          </w:tcPr>
          <w:p>
            <w:pPr>
              <w:spacing w:after="20" w:line="245" w:lineRule="auto"/>
            </w:pPr>
            <w:r/>
            <w:r>
              <w:rPr>
                <w:b/>
                <w:i w:val="0"/>
                <w:color w:val="14233C"/>
                <w:sz w:val="22"/>
              </w:rPr>
              <w:t>•  the cost excludes poorer students</w:t>
            </w:r>
          </w:p>
        </w:tc>
        <w:tc>
          <w:tcPr>
            <w:tcW w:type="dxa" w:w="5112"/>
          </w:tcPr>
          <w:p>
            <w:pPr>
              <w:spacing w:after="20" w:line="245" w:lineRule="auto"/>
            </w:pPr>
            <w:r/>
            <w:r>
              <w:rPr>
                <w:b w:val="0"/>
                <w:i/>
                <w:color w:val="5A6470"/>
                <w:sz w:val="21"/>
              </w:rPr>
              <w:t>e.g.  Each trip costs about HK$5,000, so the students who would gain most may never go.</w:t>
            </w:r>
          </w:p>
        </w:tc>
      </w:tr>
      <w:tr>
        <w:tc>
          <w:tcPr>
            <w:tcW w:type="dxa" w:w="5112"/>
          </w:tcPr>
          <w:p>
            <w:pPr>
              <w:spacing w:after="20" w:line="245" w:lineRule="auto"/>
            </w:pPr>
            <w:r/>
            <w:r>
              <w:rPr>
                <w:b/>
                <w:i w:val="0"/>
                <w:color w:val="14233C"/>
                <w:sz w:val="22"/>
              </w:rPr>
              <w:t>•  short trips may achieve little</w:t>
            </w:r>
          </w:p>
        </w:tc>
        <w:tc>
          <w:tcPr>
            <w:tcW w:type="dxa" w:w="5112"/>
          </w:tcPr>
          <w:p>
            <w:pPr>
              <w:spacing w:after="20" w:line="245" w:lineRule="auto"/>
            </w:pPr>
            <w:r/>
            <w:r>
              <w:rPr>
                <w:b w:val="0"/>
                <w:i/>
                <w:color w:val="5A6470"/>
                <w:sz w:val="21"/>
              </w:rPr>
              <w:t>e.g.  The student in the article wondered whether one week really makes a long-term difference.</w:t>
            </w:r>
          </w:p>
        </w:tc>
      </w:tr>
      <w:tr>
        <w:tc>
          <w:tcPr>
            <w:tcW w:type="dxa" w:w="5112"/>
          </w:tcPr>
          <w:p>
            <w:pPr>
              <w:spacing w:after="20" w:line="245" w:lineRule="auto"/>
            </w:pPr>
            <w:r/>
            <w:r>
              <w:rPr>
                <w:b/>
                <w:i w:val="0"/>
                <w:color w:val="14233C"/>
                <w:sz w:val="22"/>
              </w:rPr>
              <w:t>•  safety and supervision</w:t>
            </w:r>
          </w:p>
        </w:tc>
        <w:tc>
          <w:tcPr>
            <w:tcW w:type="dxa" w:w="5112"/>
          </w:tcPr>
          <w:p>
            <w:pPr>
              <w:spacing w:after="20" w:line="245" w:lineRule="auto"/>
            </w:pPr>
            <w:r/>
            <w:r>
              <w:rPr>
                <w:b w:val="0"/>
                <w:i/>
                <w:color w:val="5A6470"/>
                <w:sz w:val="21"/>
              </w:rPr>
              <w:t>e.g.  Sixty-five students and twenty adults in unfamiliar conditions is an enormous responsibility.</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3.  whether charity work outside Hong Kong should be a requirement at secondary school</w:t>
            </w:r>
          </w:p>
        </w:tc>
      </w:tr>
      <w:tr>
        <w:tc>
          <w:tcPr>
            <w:tcW w:type="dxa" w:w="5112"/>
          </w:tcPr>
          <w:p>
            <w:pPr>
              <w:spacing w:after="20" w:line="245" w:lineRule="auto"/>
            </w:pPr>
            <w:r/>
            <w:r>
              <w:rPr>
                <w:b/>
                <w:i w:val="0"/>
                <w:color w:val="14233C"/>
                <w:sz w:val="22"/>
              </w:rPr>
              <w:t>•  YES: everyone would experience it</w:t>
            </w:r>
          </w:p>
        </w:tc>
        <w:tc>
          <w:tcPr>
            <w:tcW w:type="dxa" w:w="5112"/>
          </w:tcPr>
          <w:p>
            <w:pPr>
              <w:spacing w:after="20" w:line="245" w:lineRule="auto"/>
            </w:pPr>
            <w:r/>
            <w:r>
              <w:rPr>
                <w:b w:val="0"/>
                <w:i/>
                <w:color w:val="5A6470"/>
                <w:sz w:val="21"/>
              </w:rPr>
              <w:t>e.g.  A requirement guarantees that service is not only for students whose parents can pay.</w:t>
            </w:r>
          </w:p>
        </w:tc>
      </w:tr>
      <w:tr>
        <w:tc>
          <w:tcPr>
            <w:tcW w:type="dxa" w:w="5112"/>
          </w:tcPr>
          <w:p>
            <w:pPr>
              <w:spacing w:after="20" w:line="245" w:lineRule="auto"/>
            </w:pPr>
            <w:r/>
            <w:r>
              <w:rPr>
                <w:b/>
                <w:i w:val="0"/>
                <w:color w:val="14233C"/>
                <w:sz w:val="22"/>
              </w:rPr>
              <w:t>•  YES: it builds character</w:t>
            </w:r>
          </w:p>
        </w:tc>
        <w:tc>
          <w:tcPr>
            <w:tcW w:type="dxa" w:w="5112"/>
          </w:tcPr>
          <w:p>
            <w:pPr>
              <w:spacing w:after="20" w:line="245" w:lineRule="auto"/>
            </w:pPr>
            <w:r/>
            <w:r>
              <w:rPr>
                <w:b w:val="0"/>
                <w:i/>
                <w:color w:val="5A6470"/>
                <w:sz w:val="21"/>
              </w:rPr>
              <w:t>e.g.  Schools already require PE and other activities that students would not choose themselves.</w:t>
            </w:r>
          </w:p>
        </w:tc>
      </w:tr>
      <w:tr>
        <w:tc>
          <w:tcPr>
            <w:tcW w:type="dxa" w:w="5112"/>
          </w:tcPr>
          <w:p>
            <w:pPr>
              <w:spacing w:after="20" w:line="245" w:lineRule="auto"/>
            </w:pPr>
            <w:r/>
            <w:r>
              <w:rPr>
                <w:b/>
                <w:i w:val="0"/>
                <w:color w:val="14233C"/>
                <w:sz w:val="22"/>
              </w:rPr>
              <w:t>•  NO: it puts families under pressure</w:t>
            </w:r>
          </w:p>
        </w:tc>
        <w:tc>
          <w:tcPr>
            <w:tcW w:type="dxa" w:w="5112"/>
          </w:tcPr>
          <w:p>
            <w:pPr>
              <w:spacing w:after="20" w:line="245" w:lineRule="auto"/>
            </w:pPr>
            <w:r/>
            <w:r>
              <w:rPr>
                <w:b w:val="0"/>
                <w:i/>
                <w:color w:val="5A6470"/>
                <w:sz w:val="21"/>
              </w:rPr>
              <w:t>e.g.  Not every household can find HK$5,000, and a requirement would embarrass them.</w:t>
            </w:r>
          </w:p>
        </w:tc>
      </w:tr>
      <w:tr>
        <w:tc>
          <w:tcPr>
            <w:tcW w:type="dxa" w:w="5112"/>
          </w:tcPr>
          <w:p>
            <w:pPr>
              <w:spacing w:after="20" w:line="245" w:lineRule="auto"/>
            </w:pPr>
            <w:r/>
            <w:r>
              <w:rPr>
                <w:b/>
                <w:i w:val="0"/>
                <w:color w:val="14233C"/>
                <w:sz w:val="22"/>
              </w:rPr>
              <w:t>•  NO: forced service is not service</w:t>
            </w:r>
          </w:p>
        </w:tc>
        <w:tc>
          <w:tcPr>
            <w:tcW w:type="dxa" w:w="5112"/>
          </w:tcPr>
          <w:p>
            <w:pPr>
              <w:spacing w:after="20" w:line="245" w:lineRule="auto"/>
            </w:pPr>
            <w:r/>
            <w:r>
              <w:rPr>
                <w:b w:val="0"/>
                <w:i/>
                <w:color w:val="5A6470"/>
                <w:sz w:val="21"/>
              </w:rPr>
              <w:t>e.g.  Real charity starts from a genuine wish to help, not from a timetable.</w:t>
            </w:r>
          </w:p>
        </w:tc>
      </w:tr>
    </w:tbl>
    <w:p>
      <w:pPr>
        <w:keepNext w:val="0"/>
        <w:spacing w:after="60" w:line="259" w:lineRule="auto"/>
      </w:pPr>
    </w:p>
    <w:p>
      <w:pPr>
        <w:keepNext w:val="0"/>
        <w:spacing w:after="120" w:line="259" w:lineRule="auto"/>
      </w:pPr>
      <w:r>
        <w:rPr>
          <w:b w:val="0"/>
          <w:i w:val="0"/>
          <w:color w:val="5A6470"/>
          <w:sz w:val="21"/>
          <w:u w:val="none"/>
        </w:rPr>
        <w:t>Note: the fourth bullet (anything else you think is important) has no slide — it is the group’s open floor. If they stall, ask them to raise one thing the paper never mentions, or to disagree with the group’s best idea so far.</w:t>
      </w:r>
    </w:p>
    <w:p>
      <w:pPr>
        <w:keepNext/>
        <w:spacing w:after="100" w:line="259" w:lineRule="auto"/>
      </w:pPr>
      <w:r>
        <w:rPr>
          <w:b/>
          <w:i w:val="0"/>
          <w:color w:val="548235"/>
          <w:sz w:val="26"/>
          <w:u w:val="single"/>
        </w:rPr>
        <w:t>Part B – Individual Response: Questions 7 and 8  (1 minute each)</w:t>
      </w:r>
    </w:p>
    <w:p>
      <w:pPr>
        <w:keepNext/>
        <w:spacing w:after="60" w:line="259" w:lineRule="auto"/>
      </w:pPr>
      <w:r>
        <w:rPr>
          <w:b/>
          <w:i w:val="0"/>
          <w:color w:val="14233C"/>
          <w:sz w:val="23"/>
          <w:u w:val="none"/>
        </w:rPr>
        <w:t>Q7.  Do you think charity work can make a difference?</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4 noun-phrase ideas</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YES: small, practical help is real</w:t>
            </w:r>
          </w:p>
        </w:tc>
        <w:tc>
          <w:tcPr>
            <w:tcW w:type="dxa" w:w="5112"/>
          </w:tcPr>
          <w:p>
            <w:pPr>
              <w:spacing w:after="20" w:line="245" w:lineRule="auto"/>
            </w:pPr>
            <w:r/>
            <w:r>
              <w:rPr>
                <w:b w:val="0"/>
                <w:i/>
                <w:color w:val="5A6470"/>
                <w:sz w:val="21"/>
              </w:rPr>
              <w:t>Building houses and painting a school leaves something visible behind.</w:t>
            </w:r>
          </w:p>
        </w:tc>
      </w:tr>
      <w:tr>
        <w:tc>
          <w:tcPr>
            <w:tcW w:type="dxa" w:w="5112"/>
          </w:tcPr>
          <w:p>
            <w:pPr>
              <w:spacing w:after="20" w:line="245" w:lineRule="auto"/>
            </w:pPr>
            <w:r/>
            <w:r>
              <w:rPr>
                <w:b/>
                <w:i w:val="0"/>
                <w:color w:val="000000"/>
                <w:sz w:val="21"/>
              </w:rPr>
              <w:t>•  YES: the volunteers change too</w:t>
            </w:r>
          </w:p>
        </w:tc>
        <w:tc>
          <w:tcPr>
            <w:tcW w:type="dxa" w:w="5112"/>
          </w:tcPr>
          <w:p>
            <w:pPr>
              <w:spacing w:after="20" w:line="245" w:lineRule="auto"/>
            </w:pPr>
            <w:r/>
            <w:r>
              <w:rPr>
                <w:b w:val="0"/>
                <w:i/>
                <w:color w:val="5A6470"/>
                <w:sz w:val="21"/>
              </w:rPr>
              <w:t>Students come home far less able to ignore what they have seen.</w:t>
            </w:r>
          </w:p>
        </w:tc>
      </w:tr>
      <w:tr>
        <w:tc>
          <w:tcPr>
            <w:tcW w:type="dxa" w:w="5112"/>
          </w:tcPr>
          <w:p>
            <w:pPr>
              <w:spacing w:after="20" w:line="245" w:lineRule="auto"/>
            </w:pPr>
            <w:r/>
            <w:r>
              <w:rPr>
                <w:b/>
                <w:i w:val="0"/>
                <w:color w:val="000000"/>
                <w:sz w:val="21"/>
              </w:rPr>
              <w:t>•  NO: it may not last</w:t>
            </w:r>
          </w:p>
        </w:tc>
        <w:tc>
          <w:tcPr>
            <w:tcW w:type="dxa" w:w="5112"/>
          </w:tcPr>
          <w:p>
            <w:pPr>
              <w:spacing w:after="20" w:line="245" w:lineRule="auto"/>
            </w:pPr>
            <w:r/>
            <w:r>
              <w:rPr>
                <w:b w:val="0"/>
                <w:i/>
                <w:color w:val="5A6470"/>
                <w:sz w:val="21"/>
              </w:rPr>
              <w:t>A one-week visit can raise expectations that the community cannot maintain afterwards.</w:t>
            </w:r>
          </w:p>
        </w:tc>
      </w:tr>
      <w:tr>
        <w:tc>
          <w:tcPr>
            <w:tcW w:type="dxa" w:w="5112"/>
          </w:tcPr>
          <w:p>
            <w:pPr>
              <w:spacing w:after="20" w:line="245" w:lineRule="auto"/>
            </w:pPr>
            <w:r/>
            <w:r>
              <w:rPr>
                <w:b/>
                <w:i w:val="0"/>
                <w:color w:val="000000"/>
                <w:sz w:val="21"/>
              </w:rPr>
              <w:t>•  NO: money often works better</w:t>
            </w:r>
          </w:p>
        </w:tc>
        <w:tc>
          <w:tcPr>
            <w:tcW w:type="dxa" w:w="5112"/>
          </w:tcPr>
          <w:p>
            <w:pPr>
              <w:spacing w:after="20" w:line="245" w:lineRule="auto"/>
            </w:pPr>
            <w:r/>
            <w:r>
              <w:rPr>
                <w:b w:val="0"/>
                <w:i/>
                <w:color w:val="5A6470"/>
                <w:sz w:val="21"/>
              </w:rPr>
              <w:t>Sending the same amount to a local charity is cheaper than flying fifty students there.</w:t>
            </w:r>
          </w:p>
        </w:tc>
      </w:tr>
    </w:tbl>
    <w:p>
      <w:pPr>
        <w:keepNext/>
        <w:spacing w:before="80" w:after="60" w:line="259" w:lineRule="auto"/>
      </w:pPr>
      <w:r>
        <w:rPr>
          <w:b/>
          <w:i w:val="0"/>
          <w:color w:val="14233C"/>
          <w:sz w:val="23"/>
          <w:u w:val="none"/>
        </w:rPr>
        <w:t>▸  Upgrade opportunity for Q7</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"It helps a bit."</w:t>
            </w:r>
          </w:p>
        </w:tc>
        <w:tc>
          <w:tcPr>
            <w:tcW w:type="dxa" w:w="3408"/>
          </w:tcPr>
          <w:p>
            <w:pPr>
              <w:spacing w:after="20" w:line="245" w:lineRule="auto"/>
            </w:pPr>
            <w:r/>
            <w:r>
              <w:rPr>
                <w:b/>
                <w:i w:val="0"/>
                <w:color w:val="14233C"/>
                <w:sz w:val="21"/>
              </w:rPr>
              <w:t>It makes a difference to the individuals we work with.</w:t>
            </w:r>
          </w:p>
        </w:tc>
        <w:tc>
          <w:tcPr>
            <w:tcW w:type="dxa" w:w="3408"/>
          </w:tcPr>
          <w:p>
            <w:pPr>
              <w:spacing w:after="20" w:line="245" w:lineRule="auto"/>
            </w:pPr>
            <w:r/>
            <w:r>
              <w:rPr>
                <w:b w:val="0"/>
                <w:i w:val="0"/>
                <w:sz w:val="21"/>
              </w:rPr>
              <w:t>Names the level of impact</w:t>
            </w:r>
          </w:p>
        </w:tc>
      </w:tr>
      <w:tr>
        <w:tc>
          <w:tcPr>
            <w:tcW w:type="dxa" w:w="3408"/>
          </w:tcPr>
          <w:p>
            <w:pPr>
              <w:spacing w:after="20" w:line="245" w:lineRule="auto"/>
            </w:pPr>
            <w:r/>
            <w:r>
              <w:rPr>
                <w:b w:val="0"/>
                <w:i w:val="0"/>
                <w:sz w:val="21"/>
              </w:rPr>
              <w:t>"We give money."</w:t>
            </w:r>
          </w:p>
        </w:tc>
        <w:tc>
          <w:tcPr>
            <w:tcW w:type="dxa" w:w="3408"/>
          </w:tcPr>
          <w:p>
            <w:pPr>
              <w:spacing w:after="20" w:line="245" w:lineRule="auto"/>
            </w:pPr>
            <w:r/>
            <w:r>
              <w:rPr>
                <w:b/>
                <w:i w:val="0"/>
                <w:color w:val="14233C"/>
                <w:sz w:val="21"/>
              </w:rPr>
              <w:t>Donations often achieve more per dollar than a week-long trip.</w:t>
            </w:r>
          </w:p>
        </w:tc>
        <w:tc>
          <w:tcPr>
            <w:tcW w:type="dxa" w:w="3408"/>
          </w:tcPr>
          <w:p>
            <w:pPr>
              <w:spacing w:after="20" w:line="245" w:lineRule="auto"/>
            </w:pPr>
            <w:r/>
            <w:r>
              <w:rPr>
                <w:b w:val="0"/>
                <w:i w:val="0"/>
                <w:sz w:val="21"/>
              </w:rPr>
              <w:t>Comparison plus evidence</w:t>
            </w:r>
          </w:p>
        </w:tc>
      </w:tr>
      <w:tr>
        <w:tc>
          <w:tcPr>
            <w:tcW w:type="dxa" w:w="3408"/>
          </w:tcPr>
          <w:p>
            <w:pPr>
              <w:spacing w:after="20" w:line="245" w:lineRule="auto"/>
            </w:pPr>
            <w:r/>
            <w:r>
              <w:rPr>
                <w:b w:val="0"/>
                <w:i w:val="0"/>
                <w:sz w:val="21"/>
              </w:rPr>
              <w:t>"It’s a good experience."</w:t>
            </w:r>
          </w:p>
        </w:tc>
        <w:tc>
          <w:tcPr>
            <w:tcW w:type="dxa" w:w="3408"/>
          </w:tcPr>
          <w:p>
            <w:pPr>
              <w:spacing w:after="20" w:line="245" w:lineRule="auto"/>
            </w:pPr>
            <w:r/>
            <w:r>
              <w:rPr>
                <w:b/>
                <w:i w:val="0"/>
                <w:color w:val="14233C"/>
                <w:sz w:val="21"/>
              </w:rPr>
              <w:t>The volunteers change as much as the communities they visit.</w:t>
            </w:r>
          </w:p>
        </w:tc>
        <w:tc>
          <w:tcPr>
            <w:tcW w:type="dxa" w:w="3408"/>
          </w:tcPr>
          <w:p>
            <w:pPr>
              <w:spacing w:after="20" w:line="245" w:lineRule="auto"/>
            </w:pPr>
            <w:r/>
            <w:r>
              <w:rPr>
                <w:b w:val="0"/>
                <w:i w:val="0"/>
                <w:sz w:val="21"/>
              </w:rPr>
              <w:t>Turns a cliché into a claim</w:t>
            </w:r>
          </w:p>
        </w:tc>
      </w:tr>
    </w:tbl>
    <w:p>
      <w:pPr>
        <w:keepNext w:val="0"/>
        <w:spacing w:after="60" w:line="259" w:lineRule="auto"/>
      </w:pPr>
    </w:p>
    <w:p>
      <w:pPr>
        <w:keepNext/>
        <w:spacing w:after="60" w:line="259" w:lineRule="auto"/>
      </w:pPr>
      <w:r>
        <w:rPr>
          <w:b/>
          <w:i w:val="0"/>
          <w:color w:val="14233C"/>
          <w:sz w:val="23"/>
          <w:u w:val="none"/>
        </w:rPr>
        <w:t>Q8.  Who benefits more from charity work outside Hong Kong: the volunteers or the locals?</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2 noun-phrase ideas  (VOLUNTEERS · LOCALS)</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VOLUNTEERS: the experience is life-changing for us</w:t>
            </w:r>
          </w:p>
        </w:tc>
        <w:tc>
          <w:tcPr>
            <w:tcW w:type="dxa" w:w="5112"/>
          </w:tcPr>
          <w:p>
            <w:pPr>
              <w:spacing w:after="20" w:line="245" w:lineRule="auto"/>
            </w:pPr>
            <w:r/>
            <w:r>
              <w:rPr>
                <w:b w:val="0"/>
                <w:i/>
                <w:color w:val="5A6470"/>
                <w:sz w:val="21"/>
              </w:rPr>
              <w:t>The students in the article said they had never realised how privileged their own lives were.</w:t>
            </w:r>
          </w:p>
        </w:tc>
      </w:tr>
      <w:tr>
        <w:tc>
          <w:tcPr>
            <w:tcW w:type="dxa" w:w="5112"/>
          </w:tcPr>
          <w:p>
            <w:pPr>
              <w:spacing w:after="20" w:line="245" w:lineRule="auto"/>
            </w:pPr>
            <w:r/>
            <w:r>
              <w:rPr>
                <w:b/>
                <w:i w:val="0"/>
                <w:color w:val="000000"/>
                <w:sz w:val="21"/>
              </w:rPr>
              <w:t>•  LOCALS: the practical support is what matters</w:t>
            </w:r>
          </w:p>
        </w:tc>
        <w:tc>
          <w:tcPr>
            <w:tcW w:type="dxa" w:w="5112"/>
          </w:tcPr>
          <w:p>
            <w:pPr>
              <w:spacing w:after="20" w:line="245" w:lineRule="auto"/>
            </w:pPr>
            <w:r/>
            <w:r>
              <w:rPr>
                <w:b w:val="0"/>
                <w:i/>
                <w:color w:val="5A6470"/>
                <w:sz w:val="21"/>
              </w:rPr>
              <w:t>Local teachers and children gain real classroom help and finished buildings.</w:t>
            </w:r>
          </w:p>
        </w:tc>
      </w:tr>
    </w:tbl>
    <w:p>
      <w:pPr>
        <w:keepNext/>
        <w:spacing w:before="80" w:after="60" w:line="259" w:lineRule="auto"/>
      </w:pPr>
      <w:r>
        <w:rPr>
          <w:b/>
          <w:i w:val="0"/>
          <w:color w:val="14233C"/>
          <w:sz w:val="23"/>
          <w:u w:val="none"/>
        </w:rPr>
        <w:t>▸  Upgrade opportunity for Q8</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"Both benefit."</w:t>
            </w:r>
          </w:p>
        </w:tc>
        <w:tc>
          <w:tcPr>
            <w:tcW w:type="dxa" w:w="3408"/>
          </w:tcPr>
          <w:p>
            <w:pPr>
              <w:spacing w:after="20" w:line="245" w:lineRule="auto"/>
            </w:pPr>
            <w:r/>
            <w:r>
              <w:rPr>
                <w:b/>
                <w:i w:val="0"/>
                <w:color w:val="14233C"/>
                <w:sz w:val="21"/>
              </w:rPr>
              <w:t>Both sides gain, but they gain very different things.</w:t>
            </w:r>
          </w:p>
        </w:tc>
        <w:tc>
          <w:tcPr>
            <w:tcW w:type="dxa" w:w="3408"/>
          </w:tcPr>
          <w:p>
            <w:pPr>
              <w:spacing w:after="20" w:line="245" w:lineRule="auto"/>
            </w:pPr>
            <w:r/>
            <w:r>
              <w:rPr>
                <w:b w:val="0"/>
                <w:i w:val="0"/>
                <w:sz w:val="21"/>
              </w:rPr>
              <w:t>Signposts a comparison</w:t>
            </w:r>
          </w:p>
        </w:tc>
      </w:tr>
      <w:tr>
        <w:tc>
          <w:tcPr>
            <w:tcW w:type="dxa" w:w="3408"/>
          </w:tcPr>
          <w:p>
            <w:pPr>
              <w:spacing w:after="20" w:line="245" w:lineRule="auto"/>
            </w:pPr>
            <w:r/>
            <w:r>
              <w:rPr>
                <w:b w:val="0"/>
                <w:i w:val="0"/>
                <w:sz w:val="21"/>
              </w:rPr>
              <w:t>"We benefit more."</w:t>
            </w:r>
          </w:p>
        </w:tc>
        <w:tc>
          <w:tcPr>
            <w:tcW w:type="dxa" w:w="3408"/>
          </w:tcPr>
          <w:p>
            <w:pPr>
              <w:spacing w:after="20" w:line="245" w:lineRule="auto"/>
            </w:pPr>
            <w:r/>
            <w:r>
              <w:rPr>
                <w:b/>
                <w:i w:val="0"/>
                <w:color w:val="14233C"/>
                <w:sz w:val="21"/>
              </w:rPr>
              <w:t>Honestly, we take home a wider worldview while they gain short-term, practical help.</w:t>
            </w:r>
          </w:p>
        </w:tc>
        <w:tc>
          <w:tcPr>
            <w:tcW w:type="dxa" w:w="3408"/>
          </w:tcPr>
          <w:p>
            <w:pPr>
              <w:spacing w:after="20" w:line="245" w:lineRule="auto"/>
            </w:pPr>
            <w:r/>
            <w:r>
              <w:rPr>
                <w:b w:val="0"/>
                <w:i w:val="0"/>
                <w:sz w:val="21"/>
              </w:rPr>
              <w:t>Balanced and honest</w:t>
            </w:r>
          </w:p>
        </w:tc>
      </w:tr>
      <w:tr>
        <w:tc>
          <w:tcPr>
            <w:tcW w:type="dxa" w:w="3408"/>
          </w:tcPr>
          <w:p>
            <w:pPr>
              <w:spacing w:after="20" w:line="245" w:lineRule="auto"/>
            </w:pPr>
            <w:r/>
            <w:r>
              <w:rPr>
                <w:b w:val="0"/>
                <w:i w:val="0"/>
                <w:sz w:val="21"/>
              </w:rPr>
              <w:t>"The local people benefit."</w:t>
            </w:r>
          </w:p>
        </w:tc>
        <w:tc>
          <w:tcPr>
            <w:tcW w:type="dxa" w:w="3408"/>
          </w:tcPr>
          <w:p>
            <w:pPr>
              <w:spacing w:after="20" w:line="245" w:lineRule="auto"/>
            </w:pPr>
            <w:r/>
            <w:r>
              <w:rPr>
                <w:b/>
                <w:i w:val="0"/>
                <w:color w:val="14233C"/>
                <w:sz w:val="21"/>
              </w:rPr>
              <w:t>For the community the benefit is measurable: extra teachers and finished buildings.</w:t>
            </w:r>
          </w:p>
        </w:tc>
        <w:tc>
          <w:tcPr>
            <w:tcW w:type="dxa" w:w="3408"/>
          </w:tcPr>
          <w:p>
            <w:pPr>
              <w:spacing w:after="20" w:line="245" w:lineRule="auto"/>
            </w:pPr>
            <w:r/>
            <w:r>
              <w:rPr>
                <w:b w:val="0"/>
                <w:i w:val="0"/>
                <w:sz w:val="21"/>
              </w:rPr>
              <w:t>Concrete evidence</w:t>
            </w:r>
          </w:p>
        </w:tc>
      </w:tr>
    </w:tbl>
    <w:p>
      <w:pPr>
        <w:keepNext w:val="0"/>
        <w:spacing w:after="60" w:line="259" w:lineRule="auto"/>
      </w:pP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